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56A3C" w14:textId="77777777" w:rsidR="00A260EF" w:rsidRPr="00A260EF" w:rsidRDefault="00A260EF" w:rsidP="00A260EF">
      <w:pPr>
        <w:shd w:val="clear" w:color="auto" w:fill="FFFFFF"/>
        <w:spacing w:before="100" w:beforeAutospacing="1" w:after="84" w:line="240" w:lineRule="auto"/>
        <w:jc w:val="center"/>
        <w:rPr>
          <w:rFonts w:ascii="Aptos Display" w:eastAsia="Times New Roman" w:hAnsi="Aptos Display" w:cs="Arial"/>
          <w:b/>
          <w:bCs/>
          <w:color w:val="221D23"/>
          <w:kern w:val="0"/>
          <w14:ligatures w14:val="none"/>
        </w:rPr>
      </w:pPr>
      <w:r w:rsidRPr="00A260EF">
        <w:rPr>
          <w:rFonts w:ascii="Aptos Display" w:eastAsia="Times New Roman" w:hAnsi="Aptos Display" w:cs="Arial"/>
          <w:b/>
          <w:bCs/>
          <w:color w:val="221D23"/>
          <w:kern w:val="0"/>
          <w14:ligatures w14:val="none"/>
        </w:rPr>
        <w:t>ARTICLES 31 AND 32</w:t>
      </w:r>
      <w:proofErr w:type="gramStart"/>
      <w:r w:rsidRPr="00A260EF">
        <w:rPr>
          <w:rFonts w:ascii="Aptos Display" w:eastAsia="Times New Roman" w:hAnsi="Aptos Display" w:cs="Arial"/>
          <w:b/>
          <w:bCs/>
          <w:color w:val="221D23"/>
          <w:kern w:val="0"/>
          <w14:ligatures w14:val="none"/>
        </w:rPr>
        <w:t>:  ACCESSORY</w:t>
      </w:r>
      <w:proofErr w:type="gramEnd"/>
      <w:r w:rsidRPr="00A260EF">
        <w:rPr>
          <w:rFonts w:ascii="Aptos Display" w:eastAsia="Times New Roman" w:hAnsi="Aptos Display" w:cs="Arial"/>
          <w:b/>
          <w:bCs/>
          <w:color w:val="221D23"/>
          <w:kern w:val="0"/>
          <w14:ligatures w14:val="none"/>
        </w:rPr>
        <w:t xml:space="preserve"> DWELLING UNIT BYLAW FAQ</w:t>
      </w:r>
    </w:p>
    <w:p w14:paraId="55C9743B" w14:textId="77777777" w:rsidR="00A260EF" w:rsidRPr="00A260EF" w:rsidRDefault="00A260EF" w:rsidP="00A260EF">
      <w:pPr>
        <w:shd w:val="clear" w:color="auto" w:fill="FFFFFF"/>
        <w:spacing w:before="100" w:beforeAutospacing="1" w:after="84" w:line="240" w:lineRule="auto"/>
        <w:jc w:val="center"/>
        <w:rPr>
          <w:rFonts w:ascii="Aptos Display" w:eastAsia="Times New Roman" w:hAnsi="Aptos Display" w:cs="Arial"/>
          <w:b/>
          <w:bCs/>
          <w:color w:val="221D23"/>
          <w:kern w:val="0"/>
          <w14:ligatures w14:val="none"/>
        </w:rPr>
      </w:pPr>
    </w:p>
    <w:p w14:paraId="2C7CD7F9" w14:textId="77777777" w:rsidR="00A260EF" w:rsidRPr="00A260EF" w:rsidRDefault="00A260EF" w:rsidP="00A260EF">
      <w:pPr>
        <w:numPr>
          <w:ilvl w:val="0"/>
          <w:numId w:val="1"/>
        </w:numPr>
        <w:shd w:val="clear" w:color="auto" w:fill="FFFFFF"/>
        <w:spacing w:before="100" w:beforeAutospacing="1" w:after="84" w:line="240" w:lineRule="auto"/>
        <w:contextualSpacing/>
        <w:rPr>
          <w:rFonts w:ascii="Aptos Display" w:eastAsia="Times New Roman" w:hAnsi="Aptos Display" w:cs="Arial"/>
          <w:b/>
          <w:bCs/>
          <w:color w:val="221D23"/>
          <w:kern w:val="0"/>
          <w14:ligatures w14:val="none"/>
        </w:rPr>
      </w:pPr>
      <w:r w:rsidRPr="00A260EF">
        <w:rPr>
          <w:rFonts w:ascii="Aptos Display" w:eastAsia="Times New Roman" w:hAnsi="Aptos Display" w:cs="Arial"/>
          <w:b/>
          <w:bCs/>
          <w:color w:val="221D23"/>
          <w:kern w:val="0"/>
          <w14:ligatures w14:val="none"/>
        </w:rPr>
        <w:t>What is the new State law regarding Accessory Dwelling Units?</w:t>
      </w:r>
    </w:p>
    <w:p w14:paraId="4C762B72" w14:textId="77777777" w:rsidR="00A260EF" w:rsidRPr="00A260EF" w:rsidRDefault="00A260EF" w:rsidP="00A260EF">
      <w:pPr>
        <w:shd w:val="clear" w:color="auto" w:fill="FFFFFF"/>
        <w:spacing w:before="100" w:beforeAutospacing="1" w:after="336" w:line="240" w:lineRule="auto"/>
        <w:rPr>
          <w:rFonts w:ascii="Arial" w:eastAsia="Times New Roman" w:hAnsi="Arial" w:cs="Arial"/>
          <w:color w:val="221D23"/>
          <w:kern w:val="0"/>
          <w:sz w:val="22"/>
          <w:szCs w:val="22"/>
          <w14:ligatures w14:val="none"/>
        </w:rPr>
      </w:pPr>
      <w:r w:rsidRPr="00A260EF">
        <w:rPr>
          <w:rFonts w:ascii="Arial" w:eastAsia="Times New Roman" w:hAnsi="Arial" w:cs="Arial"/>
          <w:color w:val="221D23"/>
          <w:kern w:val="0"/>
          <w:sz w:val="22"/>
          <w:szCs w:val="22"/>
          <w14:ligatures w14:val="none"/>
        </w:rPr>
        <w:t>On August 6, 2024, Governor Healey signed the Affordable Homes Act into law (Chapter 150 of the Acts of 2024).  You can find information at the following link:   </w:t>
      </w:r>
      <w:hyperlink r:id="rId5" w:history="1">
        <w:r w:rsidRPr="00A260EF">
          <w:rPr>
            <w:rFonts w:ascii="Arial" w:eastAsia="Times New Roman" w:hAnsi="Arial" w:cs="Arial"/>
            <w:color w:val="0B762C"/>
            <w:kern w:val="0"/>
            <w:sz w:val="22"/>
            <w:szCs w:val="22"/>
            <w:u w:val="single"/>
            <w14:ligatures w14:val="none"/>
          </w:rPr>
          <w:t>https://www.mass.gov/info-details/accessory-dwelling-units</w:t>
        </w:r>
      </w:hyperlink>
    </w:p>
    <w:p w14:paraId="6C6D92E5" w14:textId="77777777" w:rsidR="00A260EF" w:rsidRPr="00A260EF" w:rsidRDefault="00A260EF" w:rsidP="00A260EF">
      <w:pPr>
        <w:shd w:val="clear" w:color="auto" w:fill="FFFFFF"/>
        <w:spacing w:before="100" w:beforeAutospacing="1" w:after="336" w:line="240" w:lineRule="auto"/>
        <w:rPr>
          <w:rFonts w:ascii="Arial" w:eastAsia="Times New Roman" w:hAnsi="Arial" w:cs="Arial"/>
          <w:color w:val="221D23"/>
          <w:kern w:val="0"/>
          <w:sz w:val="22"/>
          <w:szCs w:val="22"/>
          <w14:ligatures w14:val="none"/>
        </w:rPr>
      </w:pPr>
      <w:r w:rsidRPr="00A260EF">
        <w:rPr>
          <w:rFonts w:ascii="Arial" w:eastAsia="Times New Roman" w:hAnsi="Arial" w:cs="Arial"/>
          <w:color w:val="221D23"/>
          <w:kern w:val="0"/>
          <w:sz w:val="22"/>
          <w:szCs w:val="22"/>
          <w14:ligatures w14:val="none"/>
        </w:rPr>
        <w:t>The Act amended the definition of an accessory dwelling unit (ADU) to be 1/2 of the gross floor area of the principal dwelling or 900 square feet, whichever is smaller.  The Act allows ADUs by right in any zoning district that allows single-family dwellings.</w:t>
      </w:r>
    </w:p>
    <w:p w14:paraId="42A95D44" w14:textId="77777777" w:rsidR="00A260EF" w:rsidRPr="00A260EF" w:rsidRDefault="00A260EF" w:rsidP="00A260EF">
      <w:pPr>
        <w:numPr>
          <w:ilvl w:val="0"/>
          <w:numId w:val="1"/>
        </w:numPr>
        <w:shd w:val="clear" w:color="auto" w:fill="FFFFFF"/>
        <w:spacing w:before="100" w:beforeAutospacing="1" w:after="336" w:line="240" w:lineRule="auto"/>
        <w:rPr>
          <w:rFonts w:ascii="Arial" w:eastAsia="Times New Roman" w:hAnsi="Arial" w:cs="Arial"/>
          <w:b/>
          <w:bCs/>
          <w:color w:val="221D23"/>
          <w:kern w:val="0"/>
          <w:sz w:val="22"/>
          <w:szCs w:val="22"/>
          <w14:ligatures w14:val="none"/>
        </w:rPr>
      </w:pPr>
      <w:r w:rsidRPr="00A260EF">
        <w:rPr>
          <w:rFonts w:ascii="Arial" w:eastAsia="Times New Roman" w:hAnsi="Arial" w:cs="Arial"/>
          <w:b/>
          <w:bCs/>
          <w:color w:val="221D23"/>
          <w:kern w:val="0"/>
          <w:sz w:val="22"/>
          <w:szCs w:val="22"/>
          <w14:ligatures w14:val="none"/>
        </w:rPr>
        <w:t xml:space="preserve">When does </w:t>
      </w:r>
      <w:proofErr w:type="gramStart"/>
      <w:r w:rsidRPr="00A260EF">
        <w:rPr>
          <w:rFonts w:ascii="Arial" w:eastAsia="Times New Roman" w:hAnsi="Arial" w:cs="Arial"/>
          <w:b/>
          <w:bCs/>
          <w:color w:val="221D23"/>
          <w:kern w:val="0"/>
          <w:sz w:val="22"/>
          <w:szCs w:val="22"/>
          <w14:ligatures w14:val="none"/>
        </w:rPr>
        <w:t>the State</w:t>
      </w:r>
      <w:proofErr w:type="gramEnd"/>
      <w:r w:rsidRPr="00A260EF">
        <w:rPr>
          <w:rFonts w:ascii="Arial" w:eastAsia="Times New Roman" w:hAnsi="Arial" w:cs="Arial"/>
          <w:b/>
          <w:bCs/>
          <w:color w:val="221D23"/>
          <w:kern w:val="0"/>
          <w:sz w:val="22"/>
          <w:szCs w:val="22"/>
          <w14:ligatures w14:val="none"/>
        </w:rPr>
        <w:t xml:space="preserve"> Law go into effect?</w:t>
      </w:r>
    </w:p>
    <w:p w14:paraId="766BE021" w14:textId="77777777" w:rsidR="00A260EF" w:rsidRPr="00A260EF" w:rsidRDefault="00A260EF" w:rsidP="00A260EF">
      <w:pPr>
        <w:shd w:val="clear" w:color="auto" w:fill="FFFFFF"/>
        <w:spacing w:before="100" w:beforeAutospacing="1" w:after="336" w:line="240" w:lineRule="auto"/>
        <w:rPr>
          <w:rFonts w:ascii="Arial" w:eastAsia="Times New Roman" w:hAnsi="Arial" w:cs="Arial"/>
          <w:color w:val="221D23"/>
          <w:kern w:val="0"/>
          <w:sz w:val="22"/>
          <w:szCs w:val="22"/>
          <w14:ligatures w14:val="none"/>
        </w:rPr>
      </w:pPr>
      <w:r w:rsidRPr="00A260EF">
        <w:rPr>
          <w:rFonts w:ascii="Arial" w:eastAsia="Times New Roman" w:hAnsi="Arial" w:cs="Arial"/>
          <w:color w:val="221D23"/>
          <w:kern w:val="0"/>
          <w:sz w:val="22"/>
          <w:szCs w:val="22"/>
          <w14:ligatures w14:val="none"/>
        </w:rPr>
        <w:t>The State Law became effective on February 2, 2025.  This means that the Town must abide by the new Law and allow an accessory dwelling unit that meets the definition of an ADU by right.</w:t>
      </w:r>
    </w:p>
    <w:p w14:paraId="23823771" w14:textId="77777777" w:rsidR="00A260EF" w:rsidRPr="00A260EF" w:rsidRDefault="00A260EF" w:rsidP="00A260EF">
      <w:pPr>
        <w:numPr>
          <w:ilvl w:val="0"/>
          <w:numId w:val="1"/>
        </w:numPr>
        <w:shd w:val="clear" w:color="auto" w:fill="FFFFFF"/>
        <w:spacing w:before="100" w:beforeAutospacing="1" w:after="84" w:line="240" w:lineRule="auto"/>
        <w:contextualSpacing/>
        <w:rPr>
          <w:rFonts w:ascii="Aptos Display" w:eastAsia="Times New Roman" w:hAnsi="Aptos Display" w:cs="Arial"/>
          <w:b/>
          <w:bCs/>
          <w:color w:val="221D23"/>
          <w:kern w:val="0"/>
          <w14:ligatures w14:val="none"/>
        </w:rPr>
      </w:pPr>
      <w:r w:rsidRPr="00A260EF">
        <w:rPr>
          <w:rFonts w:ascii="Aptos Display" w:eastAsia="Times New Roman" w:hAnsi="Aptos Display" w:cs="Arial"/>
          <w:b/>
          <w:bCs/>
          <w:color w:val="221D23"/>
          <w:kern w:val="0"/>
          <w14:ligatures w14:val="none"/>
        </w:rPr>
        <w:t xml:space="preserve">What are the differences between the current Lincoln Bylaw and the New State Law?  </w:t>
      </w:r>
    </w:p>
    <w:p w14:paraId="5595C1CA" w14:textId="77777777" w:rsidR="00A260EF" w:rsidRPr="00A260EF" w:rsidRDefault="00A260EF" w:rsidP="00A260EF">
      <w:pPr>
        <w:shd w:val="clear" w:color="auto" w:fill="FFFFFF"/>
        <w:spacing w:before="100" w:beforeAutospacing="1" w:after="336" w:line="240" w:lineRule="auto"/>
        <w:rPr>
          <w:rFonts w:ascii="Arial" w:eastAsia="Times New Roman" w:hAnsi="Arial" w:cs="Arial"/>
          <w:color w:val="221D23"/>
          <w:kern w:val="0"/>
          <w:sz w:val="22"/>
          <w:szCs w:val="22"/>
          <w14:ligatures w14:val="none"/>
        </w:rPr>
      </w:pPr>
      <w:r w:rsidRPr="00A260EF">
        <w:rPr>
          <w:rFonts w:ascii="Arial" w:eastAsia="Times New Roman" w:hAnsi="Arial" w:cs="Arial"/>
          <w:color w:val="221D23"/>
          <w:kern w:val="0"/>
          <w:sz w:val="22"/>
          <w:szCs w:val="22"/>
          <w14:ligatures w14:val="none"/>
        </w:rPr>
        <w:t>The Planning Board is proposing a bylaw amendment to bring the zoning bylaw into compliance with State Law while retaining the current rules for Accessory Apartments larger than 900 square feet up to 1200 square feet.</w:t>
      </w:r>
    </w:p>
    <w:p w14:paraId="6D38571E" w14:textId="77777777" w:rsidR="00A260EF" w:rsidRPr="00A260EF" w:rsidRDefault="00A260EF" w:rsidP="00A260EF">
      <w:pPr>
        <w:shd w:val="clear" w:color="auto" w:fill="FFFFFF"/>
        <w:spacing w:after="84" w:line="240" w:lineRule="auto"/>
        <w:rPr>
          <w:rFonts w:ascii="Aptos Display" w:eastAsia="Times New Roman" w:hAnsi="Aptos Display" w:cs="Arial"/>
          <w:color w:val="221D23"/>
          <w:kern w:val="0"/>
          <w14:ligatures w14:val="none"/>
        </w:rPr>
      </w:pPr>
      <w:r w:rsidRPr="00A260EF">
        <w:rPr>
          <w:rFonts w:ascii="Aptos" w:eastAsia="Aptos" w:hAnsi="Aptos" w:cs="Times New Roman"/>
          <w:noProof/>
        </w:rPr>
        <w:drawing>
          <wp:inline distT="0" distB="0" distL="0" distR="0" wp14:anchorId="2C6AD1FB" wp14:editId="190652DE">
            <wp:extent cx="5876925" cy="3307403"/>
            <wp:effectExtent l="0" t="0" r="0" b="7620"/>
            <wp:docPr id="10512407"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2407" name="Picture 1" descr="Table&#10;&#10;AI-generated content may be incorrect."/>
                    <pic:cNvPicPr/>
                  </pic:nvPicPr>
                  <pic:blipFill>
                    <a:blip r:embed="rId6"/>
                    <a:stretch>
                      <a:fillRect/>
                    </a:stretch>
                  </pic:blipFill>
                  <pic:spPr>
                    <a:xfrm>
                      <a:off x="0" y="0"/>
                      <a:ext cx="5883168" cy="3310916"/>
                    </a:xfrm>
                    <a:prstGeom prst="rect">
                      <a:avLst/>
                    </a:prstGeom>
                  </pic:spPr>
                </pic:pic>
              </a:graphicData>
            </a:graphic>
          </wp:inline>
        </w:drawing>
      </w:r>
    </w:p>
    <w:p w14:paraId="257319F4" w14:textId="77777777" w:rsidR="00A260EF" w:rsidRDefault="00A260EF" w:rsidP="00A260EF">
      <w:pPr>
        <w:numPr>
          <w:ilvl w:val="0"/>
          <w:numId w:val="1"/>
        </w:numPr>
        <w:shd w:val="clear" w:color="auto" w:fill="FFFFFF"/>
        <w:spacing w:before="100" w:beforeAutospacing="1" w:after="84" w:line="240" w:lineRule="auto"/>
        <w:contextualSpacing/>
        <w:rPr>
          <w:rFonts w:ascii="Aptos Display" w:eastAsia="Times New Roman" w:hAnsi="Aptos Display" w:cs="Arial"/>
          <w:b/>
          <w:bCs/>
          <w:color w:val="221D23"/>
          <w:kern w:val="0"/>
          <w14:ligatures w14:val="none"/>
        </w:rPr>
      </w:pPr>
      <w:r w:rsidRPr="00A260EF">
        <w:rPr>
          <w:rFonts w:ascii="Aptos Display" w:eastAsia="Times New Roman" w:hAnsi="Aptos Display" w:cs="Arial"/>
          <w:b/>
          <w:bCs/>
          <w:color w:val="221D23"/>
          <w:kern w:val="0"/>
          <w14:ligatures w14:val="none"/>
        </w:rPr>
        <w:t>What does the proposed bylaw do?</w:t>
      </w:r>
    </w:p>
    <w:p w14:paraId="3371DDBA" w14:textId="77777777" w:rsidR="00A260EF" w:rsidRPr="00A260EF" w:rsidRDefault="00A260EF" w:rsidP="00A260EF">
      <w:pPr>
        <w:shd w:val="clear" w:color="auto" w:fill="FFFFFF"/>
        <w:spacing w:before="100" w:beforeAutospacing="1" w:after="84" w:line="240" w:lineRule="auto"/>
        <w:ind w:left="900"/>
        <w:contextualSpacing/>
        <w:rPr>
          <w:rFonts w:ascii="Aptos Display" w:eastAsia="Times New Roman" w:hAnsi="Aptos Display" w:cs="Arial"/>
          <w:b/>
          <w:bCs/>
          <w:color w:val="221D23"/>
          <w:kern w:val="0"/>
          <w14:ligatures w14:val="none"/>
        </w:rPr>
      </w:pPr>
    </w:p>
    <w:p w14:paraId="4BB76973" w14:textId="77777777" w:rsidR="00A260EF" w:rsidRPr="00A260EF" w:rsidRDefault="00A260EF" w:rsidP="00A260EF">
      <w:pPr>
        <w:rPr>
          <w:rFonts w:ascii="Aptos Display" w:eastAsia="Aptos" w:hAnsi="Aptos Display" w:cs="Times New Roman"/>
        </w:rPr>
      </w:pPr>
      <w:r w:rsidRPr="00A260EF">
        <w:rPr>
          <w:rFonts w:ascii="Aptos Display" w:eastAsia="Aptos" w:hAnsi="Aptos Display" w:cs="Times New Roman"/>
        </w:rPr>
        <w:t>The proposed bylaw differentiates Accessory Apartments from ADUs and creates two tiers.</w:t>
      </w:r>
    </w:p>
    <w:p w14:paraId="56554960" w14:textId="77777777" w:rsidR="00A260EF" w:rsidRPr="00A260EF" w:rsidRDefault="00A260EF" w:rsidP="00A260EF">
      <w:pPr>
        <w:shd w:val="clear" w:color="auto" w:fill="FFFFFF"/>
        <w:spacing w:after="84" w:line="240" w:lineRule="auto"/>
        <w:rPr>
          <w:rFonts w:ascii="Aptos Display" w:eastAsia="Times New Roman" w:hAnsi="Aptos Display" w:cs="Arial"/>
          <w:color w:val="221D23"/>
          <w:kern w:val="0"/>
          <w14:ligatures w14:val="none"/>
        </w:rPr>
      </w:pPr>
      <w:r w:rsidRPr="00A260EF">
        <w:rPr>
          <w:rFonts w:ascii="Aptos Display" w:eastAsia="Times New Roman" w:hAnsi="Aptos Display" w:cs="Arial"/>
          <w:color w:val="221D23"/>
          <w:kern w:val="0"/>
          <w:u w:val="single"/>
          <w14:ligatures w14:val="none"/>
        </w:rPr>
        <w:t>Tier 1:</w:t>
      </w:r>
      <w:r w:rsidRPr="00A260EF">
        <w:rPr>
          <w:rFonts w:ascii="Aptos Display" w:eastAsia="Times New Roman" w:hAnsi="Aptos Display" w:cs="Arial"/>
          <w:color w:val="221D23"/>
          <w:kern w:val="0"/>
          <w14:ligatures w14:val="none"/>
        </w:rPr>
        <w:t xml:space="preserve"> All Accessory Apartments defined as larger than 900 square feet up to 1200 square feet, are subject to existing regulations.</w:t>
      </w:r>
    </w:p>
    <w:p w14:paraId="20ECD798" w14:textId="77777777" w:rsidR="00A260EF" w:rsidRPr="00A260EF" w:rsidRDefault="00A260EF" w:rsidP="00A260EF">
      <w:pPr>
        <w:rPr>
          <w:rFonts w:ascii="Aptos Display" w:eastAsia="Times New Roman" w:hAnsi="Aptos Display" w:cs="Arial"/>
          <w:color w:val="221D23"/>
          <w:kern w:val="0"/>
          <w14:ligatures w14:val="none"/>
        </w:rPr>
      </w:pPr>
      <w:r w:rsidRPr="00A260EF">
        <w:rPr>
          <w:rFonts w:ascii="Aptos Display" w:eastAsia="Times New Roman" w:hAnsi="Aptos Display" w:cs="Arial"/>
          <w:color w:val="221D23"/>
          <w:kern w:val="0"/>
          <w:u w:val="single"/>
          <w14:ligatures w14:val="none"/>
        </w:rPr>
        <w:t>Tier 2:</w:t>
      </w:r>
      <w:r w:rsidRPr="00A260EF">
        <w:rPr>
          <w:rFonts w:ascii="Aptos Display" w:eastAsia="Times New Roman" w:hAnsi="Aptos Display" w:cs="Arial"/>
          <w:color w:val="221D23"/>
          <w:kern w:val="0"/>
          <w14:ligatures w14:val="none"/>
        </w:rPr>
        <w:t xml:space="preserve"> All Accessory Dwelling Units as defined by the State, are permitted by right with some additional safeguards that are allowed by </w:t>
      </w:r>
      <w:proofErr w:type="gramStart"/>
      <w:r w:rsidRPr="00A260EF">
        <w:rPr>
          <w:rFonts w:ascii="Aptos Display" w:eastAsia="Times New Roman" w:hAnsi="Aptos Display" w:cs="Arial"/>
          <w:color w:val="221D23"/>
          <w:kern w:val="0"/>
          <w14:ligatures w14:val="none"/>
        </w:rPr>
        <w:t>the State</w:t>
      </w:r>
      <w:proofErr w:type="gramEnd"/>
      <w:r w:rsidRPr="00A260EF">
        <w:rPr>
          <w:rFonts w:ascii="Aptos Display" w:eastAsia="Times New Roman" w:hAnsi="Aptos Display" w:cs="Arial"/>
          <w:color w:val="221D23"/>
          <w:kern w:val="0"/>
          <w14:ligatures w14:val="none"/>
        </w:rPr>
        <w:t xml:space="preserve"> Law.</w:t>
      </w:r>
    </w:p>
    <w:p w14:paraId="3917B564" w14:textId="77777777" w:rsidR="00A260EF" w:rsidRPr="00A260EF" w:rsidRDefault="00A260EF" w:rsidP="00A260EF">
      <w:pPr>
        <w:rPr>
          <w:rFonts w:ascii="Aptos Display" w:eastAsia="Aptos" w:hAnsi="Aptos Display" w:cs="Times New Roman"/>
        </w:rPr>
      </w:pPr>
      <w:r w:rsidRPr="00A260EF">
        <w:rPr>
          <w:rFonts w:ascii="Aptos Display" w:eastAsia="Times New Roman" w:hAnsi="Aptos Display" w:cs="Arial"/>
          <w:color w:val="221D23"/>
          <w:kern w:val="0"/>
          <w14:ligatures w14:val="none"/>
        </w:rPr>
        <w:lastRenderedPageBreak/>
        <w:t>The Bylaw also removes the cap on the allowable number of Accessory Apartments.  This is because the State law does not allow a municipality to restrict the number of ADUs, so it makes no sense to cap one and not the other.</w:t>
      </w:r>
    </w:p>
    <w:p w14:paraId="5D9688A1" w14:textId="77777777" w:rsidR="00A260EF" w:rsidRDefault="00A260EF" w:rsidP="00A260EF">
      <w:pPr>
        <w:numPr>
          <w:ilvl w:val="0"/>
          <w:numId w:val="1"/>
        </w:numPr>
        <w:contextualSpacing/>
        <w:rPr>
          <w:rFonts w:ascii="Aptos Display" w:eastAsia="Aptos" w:hAnsi="Aptos Display" w:cs="Times New Roman"/>
          <w:b/>
          <w:bCs/>
        </w:rPr>
      </w:pPr>
      <w:r w:rsidRPr="00A260EF">
        <w:rPr>
          <w:rFonts w:ascii="Aptos Display" w:eastAsia="Aptos" w:hAnsi="Aptos Display" w:cs="Times New Roman"/>
          <w:b/>
          <w:bCs/>
        </w:rPr>
        <w:t xml:space="preserve"> If ADUs are allowed by right, can there be some kind of permitting review?</w:t>
      </w:r>
    </w:p>
    <w:p w14:paraId="5A385B79" w14:textId="77777777" w:rsidR="00A260EF" w:rsidRPr="00A260EF" w:rsidRDefault="00A260EF" w:rsidP="00A260EF">
      <w:pPr>
        <w:ind w:left="900"/>
        <w:contextualSpacing/>
        <w:rPr>
          <w:rFonts w:ascii="Aptos Display" w:eastAsia="Aptos" w:hAnsi="Aptos Display" w:cs="Times New Roman"/>
          <w:b/>
          <w:bCs/>
        </w:rPr>
      </w:pPr>
    </w:p>
    <w:p w14:paraId="73047761" w14:textId="77777777" w:rsidR="00A260EF" w:rsidRPr="00A260EF" w:rsidRDefault="00A260EF" w:rsidP="00A260EF">
      <w:pPr>
        <w:rPr>
          <w:rFonts w:ascii="Aptos Display" w:eastAsia="Aptos" w:hAnsi="Aptos Display" w:cs="Times New Roman"/>
        </w:rPr>
      </w:pPr>
      <w:r w:rsidRPr="00A260EF">
        <w:rPr>
          <w:rFonts w:ascii="Aptos Display" w:eastAsia="Aptos" w:hAnsi="Aptos Display" w:cs="Times New Roman"/>
        </w:rPr>
        <w:t xml:space="preserve">The proposed bylaw complies with the requirements of State law AND provides safeguards for the Town.  State law protects ADUs as a ‘protected use” under the Dover Amendment.  An accessory dwelling unit that meets the definition of an ADU, is allowed by right.  The proposed bylaw adds protections such as Site Plan Review by the Planning Board for ALL detached ADUs.  </w:t>
      </w:r>
    </w:p>
    <w:p w14:paraId="0D64BDDA" w14:textId="77777777" w:rsidR="00A260EF" w:rsidRPr="00A260EF" w:rsidRDefault="00A260EF" w:rsidP="00A260EF">
      <w:pPr>
        <w:rPr>
          <w:rFonts w:ascii="Aptos Display" w:eastAsia="Aptos" w:hAnsi="Aptos Display" w:cs="Times New Roman"/>
        </w:rPr>
      </w:pPr>
      <w:r w:rsidRPr="00A260EF">
        <w:rPr>
          <w:rFonts w:ascii="Aptos Display" w:eastAsia="Aptos" w:hAnsi="Aptos Display" w:cs="Times New Roman"/>
        </w:rPr>
        <w:t>State law prevents a municipality from requiring a special permit for an ADU added to a nonconforming lot or structure.   The proposed bylaw adds a provision that requires the ZBA to make a Section 6 finding that the ADU is “not more detrimental to the neighborhood” for ADUs on nonconforming lots or added to nonconforming structures.  This is NOT a special permit and requires only a majority vote rather than a super majority vote of the ZBA.</w:t>
      </w:r>
    </w:p>
    <w:p w14:paraId="6CD4002D" w14:textId="77777777" w:rsidR="00A260EF" w:rsidRDefault="00A260EF" w:rsidP="00A260EF">
      <w:pPr>
        <w:numPr>
          <w:ilvl w:val="0"/>
          <w:numId w:val="1"/>
        </w:numPr>
        <w:contextualSpacing/>
        <w:rPr>
          <w:rFonts w:ascii="Aptos Display" w:eastAsia="Aptos" w:hAnsi="Aptos Display" w:cs="Times New Roman"/>
          <w:b/>
          <w:bCs/>
        </w:rPr>
      </w:pPr>
      <w:r w:rsidRPr="00A260EF">
        <w:rPr>
          <w:rFonts w:ascii="Aptos Display" w:eastAsia="Aptos" w:hAnsi="Aptos Display" w:cs="Times New Roman"/>
          <w:b/>
          <w:bCs/>
        </w:rPr>
        <w:t>Are there other safeguards baked into the bylaw?</w:t>
      </w:r>
    </w:p>
    <w:p w14:paraId="66EEB0D4" w14:textId="77777777" w:rsidR="00A260EF" w:rsidRPr="00A260EF" w:rsidRDefault="00A260EF" w:rsidP="00A260EF">
      <w:pPr>
        <w:ind w:left="900"/>
        <w:contextualSpacing/>
        <w:rPr>
          <w:rFonts w:ascii="Aptos Display" w:eastAsia="Aptos" w:hAnsi="Aptos Display" w:cs="Times New Roman"/>
          <w:b/>
          <w:bCs/>
        </w:rPr>
      </w:pPr>
    </w:p>
    <w:p w14:paraId="1C17B017" w14:textId="77777777" w:rsidR="00A260EF" w:rsidRPr="00A260EF" w:rsidRDefault="00A260EF" w:rsidP="00A260EF">
      <w:pPr>
        <w:rPr>
          <w:rFonts w:ascii="Aptos Display" w:eastAsia="Aptos" w:hAnsi="Aptos Display" w:cs="Times New Roman"/>
          <w:b/>
          <w:bCs/>
        </w:rPr>
      </w:pPr>
      <w:r w:rsidRPr="00A260EF">
        <w:rPr>
          <w:rFonts w:ascii="Aptos Display" w:eastAsia="Aptos" w:hAnsi="Aptos Display" w:cs="Times New Roman"/>
          <w:b/>
          <w:bCs/>
        </w:rPr>
        <w:t>YES:</w:t>
      </w:r>
    </w:p>
    <w:p w14:paraId="53CB3201" w14:textId="77777777" w:rsidR="00A260EF" w:rsidRPr="00A260EF" w:rsidRDefault="00A260EF" w:rsidP="00A260EF">
      <w:pPr>
        <w:numPr>
          <w:ilvl w:val="0"/>
          <w:numId w:val="2"/>
        </w:numPr>
        <w:contextualSpacing/>
        <w:rPr>
          <w:rFonts w:ascii="Aptos Display" w:eastAsia="Aptos" w:hAnsi="Aptos Display" w:cs="Times New Roman"/>
        </w:rPr>
      </w:pPr>
      <w:r w:rsidRPr="00A260EF">
        <w:rPr>
          <w:rFonts w:ascii="Aptos Display" w:eastAsia="Aptos" w:hAnsi="Aptos Display" w:cs="Times New Roman"/>
        </w:rPr>
        <w:t>existing setback requirements for primary dwellings and accessory structures will apply.</w:t>
      </w:r>
    </w:p>
    <w:p w14:paraId="354A2D6D" w14:textId="77777777" w:rsidR="00A260EF" w:rsidRPr="00A260EF" w:rsidRDefault="00A260EF" w:rsidP="00A260EF">
      <w:pPr>
        <w:numPr>
          <w:ilvl w:val="0"/>
          <w:numId w:val="2"/>
        </w:numPr>
        <w:contextualSpacing/>
        <w:rPr>
          <w:rFonts w:ascii="Aptos Display" w:eastAsia="Aptos" w:hAnsi="Aptos Display" w:cs="Times New Roman"/>
        </w:rPr>
      </w:pPr>
      <w:r w:rsidRPr="00A260EF">
        <w:rPr>
          <w:rFonts w:ascii="Aptos Display" w:eastAsia="Aptos" w:hAnsi="Aptos Display" w:cs="Times New Roman"/>
        </w:rPr>
        <w:t>Site Plan Review by the Planning Board will be triggered if an ADU is added to a primary dwelling and the square footage threshold is met that currently triggers site plan review.</w:t>
      </w:r>
    </w:p>
    <w:p w14:paraId="79BD7900" w14:textId="77777777" w:rsidR="00A260EF" w:rsidRPr="00A260EF" w:rsidRDefault="00A260EF" w:rsidP="00A260EF">
      <w:pPr>
        <w:numPr>
          <w:ilvl w:val="0"/>
          <w:numId w:val="2"/>
        </w:numPr>
        <w:contextualSpacing/>
        <w:rPr>
          <w:rFonts w:ascii="Aptos Display" w:eastAsia="Aptos" w:hAnsi="Aptos Display" w:cs="Times New Roman"/>
        </w:rPr>
      </w:pPr>
      <w:r w:rsidRPr="00A260EF">
        <w:rPr>
          <w:rFonts w:ascii="Aptos Display" w:eastAsia="Aptos" w:hAnsi="Aptos Display" w:cs="Times New Roman"/>
        </w:rPr>
        <w:t>Wetland Protection regulations apply.</w:t>
      </w:r>
    </w:p>
    <w:p w14:paraId="74D7DCFF" w14:textId="77777777" w:rsidR="00A260EF" w:rsidRPr="00A260EF" w:rsidRDefault="00A260EF" w:rsidP="00A260EF">
      <w:pPr>
        <w:numPr>
          <w:ilvl w:val="0"/>
          <w:numId w:val="2"/>
        </w:numPr>
        <w:contextualSpacing/>
        <w:rPr>
          <w:rFonts w:ascii="Aptos Display" w:eastAsia="Aptos" w:hAnsi="Aptos Display" w:cs="Times New Roman"/>
        </w:rPr>
      </w:pPr>
      <w:r w:rsidRPr="00A260EF">
        <w:rPr>
          <w:rFonts w:ascii="Aptos Display" w:eastAsia="Aptos" w:hAnsi="Aptos Display" w:cs="Times New Roman"/>
        </w:rPr>
        <w:t>Historic District process and procedures apply</w:t>
      </w:r>
    </w:p>
    <w:p w14:paraId="18462756" w14:textId="77777777" w:rsidR="00A260EF" w:rsidRPr="00A260EF" w:rsidRDefault="00A260EF" w:rsidP="00A260EF">
      <w:pPr>
        <w:numPr>
          <w:ilvl w:val="0"/>
          <w:numId w:val="2"/>
        </w:numPr>
        <w:contextualSpacing/>
        <w:rPr>
          <w:rFonts w:ascii="Aptos Display" w:eastAsia="Aptos" w:hAnsi="Aptos Display" w:cs="Times New Roman"/>
        </w:rPr>
      </w:pPr>
      <w:r w:rsidRPr="00A260EF">
        <w:rPr>
          <w:rFonts w:ascii="Aptos Display" w:eastAsia="Aptos" w:hAnsi="Aptos Display" w:cs="Times New Roman"/>
        </w:rPr>
        <w:t>Historic Demolition permit processes and procedures apply.</w:t>
      </w:r>
    </w:p>
    <w:p w14:paraId="565FDC17" w14:textId="77777777" w:rsidR="00A260EF" w:rsidRPr="00A260EF" w:rsidRDefault="00A260EF" w:rsidP="00A260EF">
      <w:pPr>
        <w:numPr>
          <w:ilvl w:val="0"/>
          <w:numId w:val="2"/>
        </w:numPr>
        <w:contextualSpacing/>
        <w:rPr>
          <w:rFonts w:ascii="Aptos Display" w:eastAsia="Aptos" w:hAnsi="Aptos Display" w:cs="Times New Roman"/>
        </w:rPr>
      </w:pPr>
      <w:r w:rsidRPr="00A260EF">
        <w:rPr>
          <w:rFonts w:ascii="Aptos Display" w:eastAsia="Aptos" w:hAnsi="Aptos Display" w:cs="Times New Roman"/>
        </w:rPr>
        <w:t>Title 5 Septic requirements apply</w:t>
      </w:r>
    </w:p>
    <w:p w14:paraId="368B53FE" w14:textId="77777777" w:rsidR="00A260EF" w:rsidRPr="00A260EF" w:rsidRDefault="00A260EF" w:rsidP="00A260EF">
      <w:pPr>
        <w:ind w:left="900"/>
        <w:contextualSpacing/>
        <w:rPr>
          <w:rFonts w:ascii="Aptos Display" w:eastAsia="Aptos" w:hAnsi="Aptos Display" w:cs="Times New Roman"/>
          <w:b/>
          <w:bCs/>
        </w:rPr>
      </w:pPr>
    </w:p>
    <w:p w14:paraId="1A2217DC" w14:textId="77777777" w:rsidR="00A260EF" w:rsidRDefault="00A260EF" w:rsidP="00A260EF">
      <w:pPr>
        <w:numPr>
          <w:ilvl w:val="0"/>
          <w:numId w:val="1"/>
        </w:numPr>
        <w:contextualSpacing/>
        <w:rPr>
          <w:rFonts w:ascii="Aptos Display" w:eastAsia="Aptos" w:hAnsi="Aptos Display" w:cs="Times New Roman"/>
          <w:b/>
          <w:bCs/>
        </w:rPr>
      </w:pPr>
      <w:r w:rsidRPr="00A260EF">
        <w:rPr>
          <w:rFonts w:ascii="Aptos Display" w:eastAsia="Aptos" w:hAnsi="Aptos Display" w:cs="Times New Roman"/>
          <w:b/>
          <w:bCs/>
        </w:rPr>
        <w:t>Will new ADUs affect the Town’s Subsidized Housing Inventory (SHI)?</w:t>
      </w:r>
    </w:p>
    <w:p w14:paraId="768D926E" w14:textId="77777777" w:rsidR="00A260EF" w:rsidRPr="00A260EF" w:rsidRDefault="00A260EF" w:rsidP="00A260EF">
      <w:pPr>
        <w:ind w:left="900"/>
        <w:contextualSpacing/>
        <w:rPr>
          <w:rFonts w:ascii="Aptos Display" w:eastAsia="Aptos" w:hAnsi="Aptos Display" w:cs="Times New Roman"/>
          <w:b/>
          <w:bCs/>
        </w:rPr>
      </w:pPr>
    </w:p>
    <w:p w14:paraId="28FA0B92" w14:textId="77777777" w:rsidR="00A260EF" w:rsidRPr="00A260EF" w:rsidRDefault="00A260EF" w:rsidP="00A260EF">
      <w:pPr>
        <w:rPr>
          <w:rFonts w:ascii="Aptos Display" w:eastAsia="Aptos" w:hAnsi="Aptos Display" w:cs="Times New Roman"/>
        </w:rPr>
      </w:pPr>
      <w:r w:rsidRPr="00A260EF">
        <w:rPr>
          <w:rFonts w:ascii="Aptos Display" w:eastAsia="Aptos" w:hAnsi="Aptos Display" w:cs="Times New Roman"/>
          <w:b/>
          <w:bCs/>
        </w:rPr>
        <w:t xml:space="preserve">NO.  </w:t>
      </w:r>
      <w:r w:rsidRPr="00A260EF">
        <w:rPr>
          <w:rFonts w:ascii="Aptos Display" w:eastAsia="Aptos" w:hAnsi="Aptos Display" w:cs="Times New Roman"/>
        </w:rPr>
        <w:t>The SHI is based on the percentage of housing units considered “affordable” up to 80% of Area Median Income.  The Assessor’s records do not show accessory units as separate housing units.  The current SHI is 12.83% which is well above the required 10%.</w:t>
      </w:r>
    </w:p>
    <w:p w14:paraId="1B9A9FCE" w14:textId="77777777" w:rsidR="00A260EF" w:rsidRPr="00A260EF" w:rsidRDefault="00A260EF" w:rsidP="00A260EF">
      <w:pPr>
        <w:ind w:left="720"/>
        <w:contextualSpacing/>
        <w:rPr>
          <w:rFonts w:ascii="Aptos Display" w:eastAsia="Aptos" w:hAnsi="Aptos Display" w:cs="Times New Roman"/>
        </w:rPr>
      </w:pPr>
    </w:p>
    <w:p w14:paraId="5BC9DA86" w14:textId="77777777" w:rsidR="00A260EF" w:rsidRDefault="00A260EF" w:rsidP="00A260EF">
      <w:pPr>
        <w:numPr>
          <w:ilvl w:val="0"/>
          <w:numId w:val="1"/>
        </w:numPr>
        <w:contextualSpacing/>
        <w:rPr>
          <w:rFonts w:ascii="Aptos Display" w:eastAsia="Aptos" w:hAnsi="Aptos Display" w:cs="Times New Roman"/>
          <w:b/>
          <w:bCs/>
        </w:rPr>
      </w:pPr>
      <w:r w:rsidRPr="00A260EF">
        <w:rPr>
          <w:rFonts w:ascii="Aptos Display" w:eastAsia="Aptos" w:hAnsi="Aptos Display" w:cs="Times New Roman"/>
          <w:b/>
          <w:bCs/>
        </w:rPr>
        <w:t>Why are there two separate Town Meeting articles?</w:t>
      </w:r>
    </w:p>
    <w:p w14:paraId="15F16B6B" w14:textId="30377D2C" w:rsidR="00A260EF" w:rsidRPr="00A260EF" w:rsidRDefault="00A260EF" w:rsidP="00A260EF">
      <w:pPr>
        <w:ind w:left="900"/>
        <w:contextualSpacing/>
        <w:rPr>
          <w:rFonts w:ascii="Aptos Display" w:eastAsia="Aptos" w:hAnsi="Aptos Display" w:cs="Times New Roman"/>
          <w:b/>
          <w:bCs/>
        </w:rPr>
      </w:pPr>
      <w:r w:rsidRPr="00A260EF">
        <w:rPr>
          <w:rFonts w:ascii="Aptos Display" w:eastAsia="Aptos" w:hAnsi="Aptos Display" w:cs="Times New Roman"/>
          <w:b/>
          <w:bCs/>
        </w:rPr>
        <w:t xml:space="preserve"> </w:t>
      </w:r>
    </w:p>
    <w:p w14:paraId="69B2A995" w14:textId="77777777" w:rsidR="00A260EF" w:rsidRPr="00A260EF" w:rsidRDefault="00A260EF" w:rsidP="00A260EF">
      <w:pPr>
        <w:widowControl w:val="0"/>
        <w:numPr>
          <w:ilvl w:val="0"/>
          <w:numId w:val="3"/>
        </w:numPr>
        <w:autoSpaceDE w:val="0"/>
        <w:autoSpaceDN w:val="0"/>
        <w:spacing w:after="0" w:line="240" w:lineRule="auto"/>
        <w:rPr>
          <w:rFonts w:ascii="Aptos" w:eastAsia="Arial" w:hAnsi="Aptos" w:cs="Arial"/>
          <w:kern w:val="0"/>
          <w14:ligatures w14:val="none"/>
        </w:rPr>
      </w:pPr>
      <w:r w:rsidRPr="0096513C">
        <w:rPr>
          <w:rFonts w:ascii="Aptos" w:eastAsia="Arial" w:hAnsi="Aptos" w:cs="Arial"/>
          <w:b/>
          <w:bCs/>
          <w:kern w:val="0"/>
          <w:u w:val="single"/>
          <w14:ligatures w14:val="none"/>
        </w:rPr>
        <w:t>Article 31:</w:t>
      </w:r>
      <w:r w:rsidRPr="00A260EF">
        <w:rPr>
          <w:rFonts w:ascii="Aptos" w:eastAsia="Arial" w:hAnsi="Aptos" w:cs="Arial"/>
          <w:kern w:val="0"/>
          <w14:ligatures w14:val="none"/>
        </w:rPr>
        <w:t xml:space="preserve"> Adds the new section 14.4 which is a new change to the zoning bylaw that may produce more housing and requires a majority vote. </w:t>
      </w:r>
    </w:p>
    <w:p w14:paraId="06209E70" w14:textId="77777777" w:rsidR="00A260EF" w:rsidRPr="00A260EF" w:rsidRDefault="00A260EF" w:rsidP="00A260EF">
      <w:pPr>
        <w:widowControl w:val="0"/>
        <w:numPr>
          <w:ilvl w:val="0"/>
          <w:numId w:val="3"/>
        </w:numPr>
        <w:autoSpaceDE w:val="0"/>
        <w:autoSpaceDN w:val="0"/>
        <w:spacing w:after="0" w:line="240" w:lineRule="auto"/>
        <w:rPr>
          <w:rFonts w:ascii="Aptos" w:eastAsia="Arial" w:hAnsi="Aptos" w:cs="Arial"/>
          <w:color w:val="FF0000"/>
          <w:kern w:val="0"/>
          <w14:ligatures w14:val="none"/>
        </w:rPr>
      </w:pPr>
      <w:r w:rsidRPr="0096513C">
        <w:rPr>
          <w:rFonts w:ascii="Aptos" w:eastAsia="Arial" w:hAnsi="Aptos" w:cs="Arial"/>
          <w:b/>
          <w:bCs/>
          <w:kern w:val="0"/>
          <w:u w:val="single"/>
          <w14:ligatures w14:val="none"/>
        </w:rPr>
        <w:t>Article 32:</w:t>
      </w:r>
      <w:r w:rsidRPr="00A260EF">
        <w:rPr>
          <w:rFonts w:ascii="Aptos" w:eastAsia="Arial" w:hAnsi="Aptos" w:cs="Arial"/>
          <w:kern w:val="0"/>
          <w14:ligatures w14:val="none"/>
        </w:rPr>
        <w:t xml:space="preserve"> Changes existing text for consistency and clarity but is not a new change to produce more housing, requires a 2/3 vote.</w:t>
      </w:r>
    </w:p>
    <w:p w14:paraId="7BE01B2B" w14:textId="77777777" w:rsidR="00A260EF" w:rsidRDefault="00A260EF"/>
    <w:sectPr w:rsidR="00A260EF" w:rsidSect="00A260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52E"/>
    <w:multiLevelType w:val="hybridMultilevel"/>
    <w:tmpl w:val="C4187478"/>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293213"/>
    <w:multiLevelType w:val="hybridMultilevel"/>
    <w:tmpl w:val="9FDEA1D6"/>
    <w:lvl w:ilvl="0" w:tplc="281662A6">
      <w:start w:val="1"/>
      <w:numFmt w:val="lowerLetter"/>
      <w:lvlText w:val="%1."/>
      <w:lvlJc w:val="left"/>
      <w:pPr>
        <w:ind w:left="630" w:hanging="360"/>
      </w:pPr>
      <w:rPr>
        <w:rFonts w:asciiTheme="minorHAnsi" w:eastAsia="Arial" w:hAnsiTheme="minorHAnsi" w:cs="Arial"/>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3CB64A39"/>
    <w:multiLevelType w:val="hybridMultilevel"/>
    <w:tmpl w:val="579EC35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765116">
    <w:abstractNumId w:val="2"/>
  </w:num>
  <w:num w:numId="2" w16cid:durableId="1427455202">
    <w:abstractNumId w:val="0"/>
  </w:num>
  <w:num w:numId="3" w16cid:durableId="1642730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0EF"/>
    <w:rsid w:val="006107B8"/>
    <w:rsid w:val="0096513C"/>
    <w:rsid w:val="00A260EF"/>
    <w:rsid w:val="00C22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5036"/>
  <w15:chartTrackingRefBased/>
  <w15:docId w15:val="{E5554C04-EFE7-49DB-8837-3BF955AA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0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0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0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0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0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0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0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0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0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0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0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0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0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0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0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0EF"/>
    <w:rPr>
      <w:rFonts w:eastAsiaTheme="majorEastAsia" w:cstheme="majorBidi"/>
      <w:color w:val="272727" w:themeColor="text1" w:themeTint="D8"/>
    </w:rPr>
  </w:style>
  <w:style w:type="paragraph" w:styleId="Title">
    <w:name w:val="Title"/>
    <w:basedOn w:val="Normal"/>
    <w:next w:val="Normal"/>
    <w:link w:val="TitleChar"/>
    <w:uiPriority w:val="10"/>
    <w:qFormat/>
    <w:rsid w:val="00A26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0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0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0EF"/>
    <w:pPr>
      <w:spacing w:before="160"/>
      <w:jc w:val="center"/>
    </w:pPr>
    <w:rPr>
      <w:i/>
      <w:iCs/>
      <w:color w:val="404040" w:themeColor="text1" w:themeTint="BF"/>
    </w:rPr>
  </w:style>
  <w:style w:type="character" w:customStyle="1" w:styleId="QuoteChar">
    <w:name w:val="Quote Char"/>
    <w:basedOn w:val="DefaultParagraphFont"/>
    <w:link w:val="Quote"/>
    <w:uiPriority w:val="29"/>
    <w:rsid w:val="00A260EF"/>
    <w:rPr>
      <w:i/>
      <w:iCs/>
      <w:color w:val="404040" w:themeColor="text1" w:themeTint="BF"/>
    </w:rPr>
  </w:style>
  <w:style w:type="paragraph" w:styleId="ListParagraph">
    <w:name w:val="List Paragraph"/>
    <w:basedOn w:val="Normal"/>
    <w:uiPriority w:val="34"/>
    <w:qFormat/>
    <w:rsid w:val="00A260EF"/>
    <w:pPr>
      <w:ind w:left="720"/>
      <w:contextualSpacing/>
    </w:pPr>
  </w:style>
  <w:style w:type="character" w:styleId="IntenseEmphasis">
    <w:name w:val="Intense Emphasis"/>
    <w:basedOn w:val="DefaultParagraphFont"/>
    <w:uiPriority w:val="21"/>
    <w:qFormat/>
    <w:rsid w:val="00A260EF"/>
    <w:rPr>
      <w:i/>
      <w:iCs/>
      <w:color w:val="0F4761" w:themeColor="accent1" w:themeShade="BF"/>
    </w:rPr>
  </w:style>
  <w:style w:type="paragraph" w:styleId="IntenseQuote">
    <w:name w:val="Intense Quote"/>
    <w:basedOn w:val="Normal"/>
    <w:next w:val="Normal"/>
    <w:link w:val="IntenseQuoteChar"/>
    <w:uiPriority w:val="30"/>
    <w:qFormat/>
    <w:rsid w:val="00A26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0EF"/>
    <w:rPr>
      <w:i/>
      <w:iCs/>
      <w:color w:val="0F4761" w:themeColor="accent1" w:themeShade="BF"/>
    </w:rPr>
  </w:style>
  <w:style w:type="character" w:styleId="IntenseReference">
    <w:name w:val="Intense Reference"/>
    <w:basedOn w:val="DefaultParagraphFont"/>
    <w:uiPriority w:val="32"/>
    <w:qFormat/>
    <w:rsid w:val="00A260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mass.gov/info-details/accessory-dwelling-uni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579</Words>
  <Characters>3304</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Vaughn, Paula</dc:creator>
  <cp:keywords/>
  <dc:description/>
  <cp:lastModifiedBy>Vaughn, Paula</cp:lastModifiedBy>
  <cp:revision>2</cp:revision>
  <dcterms:created xsi:type="dcterms:W3CDTF">2025-03-26T13:31:00Z</dcterms:created>
  <dcterms:modified xsi:type="dcterms:W3CDTF">2025-03-26T13:35:00Z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2025-03-26T13:34:51Z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edec1e10-f38d-448f-b594-33affb55eb70</vt:lpwstr>
  </property>
  <property fmtid="{D5CDD505-2E9C-101B-9397-08002B2CF9AE}" pid="7" name="MSIP_Label_defa4170-0d19-0005-0004-bc88714345d2_ActionId">
    <vt:lpwstr>f561b82c-a5c9-40c9-8a0d-c1f1f7472082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